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A18A8" w14:textId="77777777" w:rsidR="00FF4825" w:rsidRDefault="00FF4825">
      <w:pPr>
        <w:rPr>
          <w:b/>
          <w:bCs/>
        </w:rPr>
      </w:pPr>
      <w:bookmarkStart w:id="0" w:name="_GoBack"/>
      <w:bookmarkEnd w:id="0"/>
    </w:p>
    <w:tbl>
      <w:tblPr>
        <w:tblW w:w="113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3969"/>
      </w:tblGrid>
      <w:tr w:rsidR="00FF4825" w:rsidRPr="00FF4825" w14:paraId="6776080D" w14:textId="77777777" w:rsidTr="0092001B">
        <w:trPr>
          <w:trHeight w:val="2268"/>
        </w:trPr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F2F6" w14:textId="77777777" w:rsidR="00FF4825" w:rsidRPr="00FF4825" w:rsidRDefault="00FF4825" w:rsidP="00FF4825">
            <w:pPr>
              <w:suppressAutoHyphens/>
              <w:autoSpaceDN w:val="0"/>
              <w:snapToGrid w:val="0"/>
              <w:spacing w:after="0" w:line="240" w:lineRule="auto"/>
              <w:rPr>
                <w:rFonts w:eastAsia="Times New Roman"/>
                <w:b/>
                <w:kern w:val="3"/>
                <w:sz w:val="30"/>
                <w:szCs w:val="30"/>
                <w:lang w:val="en-US" w:eastAsia="zh-CN"/>
              </w:rPr>
            </w:pPr>
          </w:p>
          <w:p w14:paraId="22A99A04" w14:textId="77777777" w:rsidR="00FF4825" w:rsidRPr="00FF4825" w:rsidRDefault="00FF4825" w:rsidP="00FF4825">
            <w:pPr>
              <w:suppressAutoHyphens/>
              <w:autoSpaceDN w:val="0"/>
              <w:spacing w:after="0" w:line="240" w:lineRule="auto"/>
              <w:rPr>
                <w:rFonts w:eastAsia="Times New Roman"/>
                <w:b/>
                <w:kern w:val="3"/>
                <w:sz w:val="30"/>
                <w:szCs w:val="30"/>
                <w:lang w:eastAsia="zh-CN"/>
              </w:rPr>
            </w:pPr>
            <w:r w:rsidRPr="00FF4825">
              <w:rPr>
                <w:rFonts w:eastAsia="Times New Roman"/>
                <w:b/>
                <w:kern w:val="3"/>
                <w:sz w:val="30"/>
                <w:szCs w:val="30"/>
                <w:lang w:eastAsia="zh-CN"/>
              </w:rPr>
              <w:t xml:space="preserve">Landschaftsschutzverein Kottenforst e.V.       </w:t>
            </w:r>
          </w:p>
          <w:p w14:paraId="5F864C57" w14:textId="77777777" w:rsidR="00FF4825" w:rsidRPr="00FF4825" w:rsidRDefault="00FF4825" w:rsidP="00FF4825">
            <w:pPr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2"/>
                <w:szCs w:val="22"/>
                <w:lang w:eastAsia="zh-CN"/>
              </w:rPr>
            </w:pPr>
            <w:r w:rsidRPr="00FF4825">
              <w:rPr>
                <w:rFonts w:eastAsia="Times New Roman"/>
                <w:kern w:val="3"/>
                <w:sz w:val="22"/>
                <w:szCs w:val="22"/>
                <w:lang w:eastAsia="zh-CN"/>
              </w:rPr>
              <w:t>Eifelstr. 6   53913 Swisttal-Buschhoven    Tel. 02226/915105</w:t>
            </w:r>
          </w:p>
          <w:p w14:paraId="3E2B8AFC" w14:textId="77777777" w:rsidR="00FF4825" w:rsidRPr="00FF4825" w:rsidRDefault="00FF4825" w:rsidP="00FF4825">
            <w:pPr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2"/>
                <w:szCs w:val="22"/>
                <w:lang w:eastAsia="zh-CN"/>
              </w:rPr>
            </w:pPr>
          </w:p>
          <w:p w14:paraId="277FB62C" w14:textId="77777777" w:rsidR="00FF4825" w:rsidRPr="00FF4825" w:rsidRDefault="00FF4825" w:rsidP="00FF4825">
            <w:pPr>
              <w:suppressAutoHyphens/>
              <w:autoSpaceDN w:val="0"/>
              <w:spacing w:after="0" w:line="240" w:lineRule="auto"/>
              <w:rPr>
                <w:rFonts w:eastAsia="Times New Roman"/>
                <w:kern w:val="3"/>
                <w:sz w:val="20"/>
                <w:lang w:eastAsia="zh-CN"/>
              </w:rPr>
            </w:pPr>
            <w:r w:rsidRPr="00FF4825">
              <w:rPr>
                <w:rFonts w:eastAsia="Times New Roman"/>
                <w:kern w:val="3"/>
                <w:sz w:val="20"/>
                <w:lang w:eastAsia="zh-CN"/>
              </w:rPr>
              <w:t xml:space="preserve">Internet:    </w:t>
            </w:r>
            <w:hyperlink r:id="rId4" w:history="1">
              <w:r w:rsidRPr="00FF4825">
                <w:rPr>
                  <w:rFonts w:eastAsia="Times New Roman"/>
                  <w:color w:val="0000FF"/>
                  <w:kern w:val="3"/>
                  <w:sz w:val="20"/>
                  <w:u w:val="single"/>
                  <w:lang w:eastAsia="zh-CN"/>
                </w:rPr>
                <w:t>www.rettet-den-kottenforst.de</w:t>
              </w:r>
            </w:hyperlink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7A8B" w14:textId="77777777" w:rsidR="00FF4825" w:rsidRPr="00FF4825" w:rsidRDefault="00FF4825" w:rsidP="00FF4825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lang w:eastAsia="zh-CN"/>
              </w:rPr>
            </w:pPr>
            <w:r w:rsidRPr="00FF4825">
              <w:rPr>
                <w:rFonts w:ascii="Times New Roman" w:eastAsia="Times New Roman" w:hAnsi="Times New Roman"/>
                <w:noProof/>
                <w:kern w:val="3"/>
                <w:sz w:val="20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361FC798" wp14:editId="7C38E9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132080</wp:posOffset>
                  </wp:positionV>
                  <wp:extent cx="1080135" cy="1080135"/>
                  <wp:effectExtent l="0" t="0" r="5715" b="5715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6B40BCB" w14:textId="56A4189A" w:rsidR="00FF4825" w:rsidRDefault="00FF4825">
      <w:pPr>
        <w:rPr>
          <w:b/>
          <w:bCs/>
        </w:rPr>
      </w:pPr>
      <w:r>
        <w:rPr>
          <w:b/>
          <w:bCs/>
        </w:rPr>
        <w:t>An die Presse</w:t>
      </w:r>
    </w:p>
    <w:p w14:paraId="0A6FA1D9" w14:textId="77777777" w:rsidR="00FF4825" w:rsidRDefault="00FF4825">
      <w:pPr>
        <w:rPr>
          <w:b/>
          <w:bCs/>
        </w:rPr>
      </w:pPr>
    </w:p>
    <w:p w14:paraId="4E6CD257" w14:textId="34EA22A6" w:rsidR="00D359C8" w:rsidRPr="00DA1A0F" w:rsidRDefault="00257784">
      <w:pPr>
        <w:rPr>
          <w:b/>
          <w:bCs/>
        </w:rPr>
      </w:pPr>
      <w:r w:rsidRPr="00DA1A0F">
        <w:rPr>
          <w:b/>
          <w:bCs/>
        </w:rPr>
        <w:t>LSK kritisiert Verzögerungen bei Böschungssicherung der Kieswerke</w:t>
      </w:r>
    </w:p>
    <w:p w14:paraId="738FE75E" w14:textId="22462118" w:rsidR="00257784" w:rsidRPr="00DA1A0F" w:rsidRDefault="00257784">
      <w:r w:rsidRPr="00DA1A0F">
        <w:t xml:space="preserve">Mit scharfer Kritik an den Rheinbacher Kieswerken reagiert der Landschaftsschutzverein Kottenforst auf die mangelnde Bereitschaft die Böschungen rund um das Abbaugebiet bei Buschhoven abzusichern. </w:t>
      </w:r>
      <w:r w:rsidR="00625322" w:rsidRPr="00DA1A0F">
        <w:t xml:space="preserve">Dem Planungsausschuss in Swisttal </w:t>
      </w:r>
      <w:r w:rsidR="00DA1A0F" w:rsidRPr="00DA1A0F">
        <w:t>wurde in</w:t>
      </w:r>
      <w:r w:rsidR="008B3505" w:rsidRPr="00DA1A0F">
        <w:t xml:space="preserve"> seiner jüngsten </w:t>
      </w:r>
      <w:r w:rsidR="00DA1A0F" w:rsidRPr="00DA1A0F">
        <w:t>Sitzung von</w:t>
      </w:r>
      <w:r w:rsidR="00625322" w:rsidRPr="00DA1A0F">
        <w:t xml:space="preserve"> der Verwaltung mitgeteilt, dass neben der Nordböschung auch die West- und die Ostböschung des Tagebaus nicht die vorgeschriebene </w:t>
      </w:r>
      <w:r w:rsidR="00E84642" w:rsidRPr="00DA1A0F">
        <w:t>Standsicherheit aufweisen.</w:t>
      </w:r>
    </w:p>
    <w:p w14:paraId="7C518962" w14:textId="692018C0" w:rsidR="00B70840" w:rsidRPr="00DA1A0F" w:rsidRDefault="00257784" w:rsidP="00B70840">
      <w:r w:rsidRPr="00DA1A0F">
        <w:t>Nun liegt ein Ze</w:t>
      </w:r>
      <w:r w:rsidR="00B70840" w:rsidRPr="00DA1A0F">
        <w:t>i</w:t>
      </w:r>
      <w:r w:rsidRPr="00DA1A0F">
        <w:t>tplan vor, der allerdings recht großzügig</w:t>
      </w:r>
      <w:r w:rsidR="00B70840" w:rsidRPr="00DA1A0F">
        <w:t xml:space="preserve"> </w:t>
      </w:r>
      <w:r w:rsidRPr="00DA1A0F">
        <w:t>bem</w:t>
      </w:r>
      <w:r w:rsidR="00B70840" w:rsidRPr="00DA1A0F">
        <w:t>e</w:t>
      </w:r>
      <w:r w:rsidRPr="00DA1A0F">
        <w:t>ssen ist, so LSK Vorsitzender Thomas Klodt.</w:t>
      </w:r>
      <w:r w:rsidR="00B70840" w:rsidRPr="00DA1A0F">
        <w:t xml:space="preserve"> „Es ist inakzeptabel, dass die Menschen in Buschhoven solange auf die Absicherung der Böschungen warten müssen. Schließlich liegt der Tagebau mitten in einem Naherholungsgebiet.“</w:t>
      </w:r>
    </w:p>
    <w:p w14:paraId="655137B3" w14:textId="15AB2C63" w:rsidR="00257784" w:rsidRPr="00DA1A0F" w:rsidRDefault="00B70840">
      <w:r w:rsidRPr="00DA1A0F">
        <w:t xml:space="preserve">Aus Sicherheitsgründen musste die Gemeinde </w:t>
      </w:r>
      <w:r w:rsidR="00625322" w:rsidRPr="00DA1A0F">
        <w:t xml:space="preserve">bereits vor etwa zwei Jahren </w:t>
      </w:r>
      <w:r w:rsidRPr="00DA1A0F">
        <w:t>einen Weg entlang der Kiesgrube für</w:t>
      </w:r>
      <w:r w:rsidR="00625322" w:rsidRPr="00DA1A0F">
        <w:t xml:space="preserve"> Spaziergänger, Reiter aber auch für die Landwirte </w:t>
      </w:r>
      <w:r w:rsidRPr="00DA1A0F">
        <w:t>sperren.</w:t>
      </w:r>
    </w:p>
    <w:p w14:paraId="2DF923B2" w14:textId="77777777" w:rsidR="00DA1A0F" w:rsidRDefault="00625322">
      <w:r w:rsidRPr="00DA1A0F">
        <w:t xml:space="preserve">Schon </w:t>
      </w:r>
      <w:r w:rsidR="00257784" w:rsidRPr="00DA1A0F">
        <w:t xml:space="preserve">im März 2017 hatte der LSK in seiner Stellungnahme zum neuen Rahmenbetriebsplan des Unternehmens die fehlende Absicherung der Böschungen angemahnt. </w:t>
      </w:r>
      <w:r w:rsidR="00B70840" w:rsidRPr="00DA1A0F">
        <w:t xml:space="preserve">Das Unternehmen wollte offenbar nichts tun in der Hoffnung, man werde die damit verbundenen Gefahren ignorieren. </w:t>
      </w:r>
    </w:p>
    <w:p w14:paraId="3E9D2CDC" w14:textId="777065AA" w:rsidR="00257784" w:rsidRPr="00DA1A0F" w:rsidRDefault="00257784">
      <w:r w:rsidRPr="00DA1A0F">
        <w:t xml:space="preserve">Die Gemeinde Swisttal </w:t>
      </w:r>
      <w:r w:rsidR="00B70840" w:rsidRPr="00DA1A0F">
        <w:t xml:space="preserve">musste </w:t>
      </w:r>
      <w:r w:rsidRPr="00DA1A0F">
        <w:t>mehrfach die Bezirksregierung in Arnsberg aufforder</w:t>
      </w:r>
      <w:r w:rsidR="00B70840" w:rsidRPr="00DA1A0F">
        <w:t>n</w:t>
      </w:r>
      <w:r w:rsidRPr="00DA1A0F">
        <w:t xml:space="preserve">, tätig zu werden. </w:t>
      </w:r>
      <w:r w:rsidR="00E84642" w:rsidRPr="00DA1A0F">
        <w:t xml:space="preserve">Inzwischen gibt es einen Sonderbetriebsplan zur Sicherung der Nordböschung, weitere Anordnungen des Bergamtes die anderen Böschungen betreffend </w:t>
      </w:r>
      <w:r w:rsidR="008B3505" w:rsidRPr="00DA1A0F">
        <w:t>bleiben abzuwarten</w:t>
      </w:r>
      <w:r w:rsidR="00E84642" w:rsidRPr="00DA1A0F">
        <w:t xml:space="preserve">. In einem Zeitraum von zwei bis maximal vier Jahren sollen die </w:t>
      </w:r>
      <w:r w:rsidR="008B3505" w:rsidRPr="00DA1A0F">
        <w:t>betroffenen</w:t>
      </w:r>
      <w:r w:rsidR="00DA1A0F" w:rsidRPr="00DA1A0F">
        <w:t xml:space="preserve"> </w:t>
      </w:r>
      <w:r w:rsidR="00E84642" w:rsidRPr="00DA1A0F">
        <w:t>Böschungen standsicher hergestellt sein.</w:t>
      </w:r>
    </w:p>
    <w:sectPr w:rsidR="00257784" w:rsidRPr="00DA1A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84"/>
    <w:rsid w:val="000D1252"/>
    <w:rsid w:val="00257784"/>
    <w:rsid w:val="00625322"/>
    <w:rsid w:val="00744077"/>
    <w:rsid w:val="008B3505"/>
    <w:rsid w:val="00B70840"/>
    <w:rsid w:val="00D359C8"/>
    <w:rsid w:val="00DA1A0F"/>
    <w:rsid w:val="00E84642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75F1"/>
  <w15:docId w15:val="{3FE7A81C-C3BD-4D1B-B61D-29B048A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ettet-den-kottenfor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Lamberty</dc:creator>
  <cp:keywords/>
  <dc:description/>
  <cp:lastModifiedBy>walter riha</cp:lastModifiedBy>
  <cp:revision>2</cp:revision>
  <dcterms:created xsi:type="dcterms:W3CDTF">2020-12-06T13:17:00Z</dcterms:created>
  <dcterms:modified xsi:type="dcterms:W3CDTF">2020-12-06T13:17:00Z</dcterms:modified>
</cp:coreProperties>
</file>